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Noto Sans Thai" w:cs="Noto Sans Thai" w:eastAsia="Noto Sans Thai" w:hAnsi="Noto Sans Thai"/>
          <w:b w:val="1"/>
          <w:color w:val="003f8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Play" w:cs="Play" w:eastAsia="Play" w:hAnsi="Play"/>
          <w:b w:val="1"/>
          <w:color w:val="2e2e2e"/>
          <w:sz w:val="40"/>
          <w:szCs w:val="40"/>
        </w:rPr>
      </w:pPr>
      <w:r w:rsidDel="00000000" w:rsidR="00000000" w:rsidRPr="00000000">
        <w:rPr>
          <w:rFonts w:ascii="Play" w:cs="Play" w:eastAsia="Play" w:hAnsi="Play"/>
          <w:b w:val="1"/>
          <w:color w:val="003f81"/>
          <w:sz w:val="28"/>
          <w:szCs w:val="28"/>
          <w:rtl w:val="0"/>
        </w:rPr>
        <w:t xml:space="preserve">PROGETTO ToMove CUP C15C22007220001:</w:t>
      </w:r>
      <w:r w:rsidDel="00000000" w:rsidR="00000000" w:rsidRPr="00000000">
        <w:rPr>
          <w:rFonts w:ascii="Play" w:cs="Play" w:eastAsia="Play" w:hAnsi="Play"/>
          <w:b w:val="1"/>
          <w:color w:val="3a3a3a"/>
          <w:sz w:val="28"/>
          <w:szCs w:val="28"/>
          <w:rtl w:val="0"/>
        </w:rPr>
        <w:t xml:space="preserve"> Avviso pubblico per l’assegnazione di contributi a sperimentazioni di soluzioni innovative per la mobilità urbana del futuro “Call4testing ToMove4Future”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lay" w:cs="Play" w:eastAsia="Play" w:hAnsi="Play"/>
          <w:b w:val="1"/>
          <w:color w:val="3a3a3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Play" w:cs="Play" w:eastAsia="Play" w:hAnsi="Play"/>
          <w:b w:val="1"/>
          <w:sz w:val="28"/>
          <w:szCs w:val="28"/>
        </w:rPr>
      </w:pPr>
      <w:r w:rsidDel="00000000" w:rsidR="00000000" w:rsidRPr="00000000">
        <w:rPr>
          <w:rFonts w:ascii="Play" w:cs="Play" w:eastAsia="Play" w:hAnsi="Play"/>
          <w:b w:val="1"/>
          <w:sz w:val="28"/>
          <w:szCs w:val="28"/>
          <w:rtl w:val="0"/>
        </w:rPr>
        <w:t xml:space="preserve">ALL_5_DSAN REQUISITI</w:t>
      </w:r>
    </w:p>
    <w:p w:rsidR="00000000" w:rsidDel="00000000" w:rsidP="00000000" w:rsidRDefault="00000000" w:rsidRPr="00000000" w14:paraId="00000005">
      <w:pPr>
        <w:rPr>
          <w:rFonts w:ascii="Noto Sans Thai" w:cs="Noto Sans Thai" w:eastAsia="Noto Sans Thai" w:hAnsi="Noto Sans Thai"/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spacing w:line="276" w:lineRule="auto"/>
        <w:jc w:val="center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Dichiarazione sostitutiva dell’atto di notorietà resa ai sensi degli articoli 46 e 47 del Decreto del Presidente della Repubblica n. 445 del 28 dicembre 2000</w:t>
      </w:r>
    </w:p>
    <w:p w:rsidR="00000000" w:rsidDel="00000000" w:rsidP="00000000" w:rsidRDefault="00000000" w:rsidRPr="00000000" w14:paraId="00000007">
      <w:pPr>
        <w:keepNext w:val="1"/>
        <w:spacing w:after="200" w:line="276" w:lineRule="auto"/>
        <w:jc w:val="center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attestante:</w:t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5"/>
        </w:numPr>
        <w:spacing w:line="276" w:lineRule="auto"/>
        <w:ind w:left="720" w:hanging="360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il possesso dei requisiti soggettivi di ammissibilità;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5"/>
        </w:numPr>
        <w:spacing w:line="276" w:lineRule="auto"/>
        <w:ind w:left="720" w:hanging="360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il rispetto del limite massimo concedibile di sovvenzioni pubbliche nell’arco degli ultimi tre esercizi finanziari – “regime </w:t>
      </w:r>
      <w:r w:rsidDel="00000000" w:rsidR="00000000" w:rsidRPr="00000000">
        <w:rPr>
          <w:rFonts w:ascii="Play" w:cs="Play" w:eastAsia="Play" w:hAnsi="Play"/>
          <w:b w:val="1"/>
          <w:i w:val="1"/>
          <w:rtl w:val="0"/>
        </w:rPr>
        <w:t xml:space="preserve">de minimis</w:t>
      </w: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”;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numPr>
          <w:ilvl w:val="0"/>
          <w:numId w:val="5"/>
        </w:numPr>
        <w:spacing w:line="276" w:lineRule="auto"/>
        <w:ind w:left="720" w:hanging="360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il rispetto del principio DNSH ai sensi dell'articolo 17 del Regolamento (UE) 2020/852 e dei principi trasversali del PNRR.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line="276" w:lineRule="auto"/>
        <w:jc w:val="center"/>
        <w:rPr>
          <w:rFonts w:ascii="Play" w:cs="Play" w:eastAsia="Play" w:hAnsi="Pl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line="276" w:lineRule="auto"/>
        <w:jc w:val="center"/>
        <w:rPr>
          <w:rFonts w:ascii="Play" w:cs="Play" w:eastAsia="Play" w:hAnsi="Pl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line="276" w:lineRule="auto"/>
        <w:jc w:val="center"/>
        <w:rPr>
          <w:rFonts w:ascii="Play" w:cs="Play" w:eastAsia="Play" w:hAnsi="Play"/>
          <w:b w:val="1"/>
          <w:u w:val="single"/>
        </w:rPr>
      </w:pPr>
      <w:r w:rsidDel="00000000" w:rsidR="00000000" w:rsidRPr="00000000">
        <w:rPr>
          <w:rFonts w:ascii="Play" w:cs="Play" w:eastAsia="Play" w:hAnsi="Play"/>
          <w:b w:val="1"/>
          <w:u w:val="single"/>
          <w:rtl w:val="0"/>
        </w:rPr>
        <w:t xml:space="preserve">IN CASO DI CANDIDATURE SOTTOPOSTE IN FORMA AGGREGATA, CIASCUN PARTNER DOVRÀ PRESENTARE LA PROPRIA DICHIARAZIONE!!!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Play" w:cs="Play" w:eastAsia="Play" w:hAnsi="Play"/>
          <w:color w:val="3a3a3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Noto Sans Thai" w:cs="Noto Sans Thai" w:eastAsia="Noto Sans Thai" w:hAnsi="Noto Sans Thai"/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Noto Sans Thai" w:cs="Noto Sans Thai" w:eastAsia="Noto Sans Thai" w:hAnsi="Noto Sans Thai"/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Noto Sans Thai" w:cs="Noto Sans Thai" w:eastAsia="Noto Sans Thai" w:hAnsi="Noto Sans Thai"/>
          <w:color w:val="3a3a3a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lineRule="auto"/>
        <w:ind w:hanging="2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lineRule="auto"/>
        <w:ind w:hanging="2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Il sottoscritto/a___________________________________________________</w:t>
      </w:r>
    </w:p>
    <w:p w:rsidR="00000000" w:rsidDel="00000000" w:rsidP="00000000" w:rsidRDefault="00000000" w:rsidRPr="00000000" w14:paraId="00000014">
      <w:pPr>
        <w:spacing w:after="240" w:lineRule="auto"/>
        <w:ind w:hanging="2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nato/a a ____________________________ il _____________________ </w:t>
      </w:r>
    </w:p>
    <w:p w:rsidR="00000000" w:rsidDel="00000000" w:rsidP="00000000" w:rsidRDefault="00000000" w:rsidRPr="00000000" w14:paraId="00000015">
      <w:pPr>
        <w:spacing w:after="240" w:lineRule="auto"/>
        <w:ind w:hanging="2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C.F.______________________________________________________________</w:t>
      </w:r>
    </w:p>
    <w:p w:rsidR="00000000" w:rsidDel="00000000" w:rsidP="00000000" w:rsidRDefault="00000000" w:rsidRPr="00000000" w14:paraId="00000016">
      <w:pPr>
        <w:spacing w:after="200" w:before="200" w:lineRule="auto"/>
        <w:ind w:hanging="2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residente in _____________________________________________ Prov (__) </w:t>
      </w:r>
    </w:p>
    <w:p w:rsidR="00000000" w:rsidDel="00000000" w:rsidP="00000000" w:rsidRDefault="00000000" w:rsidRPr="00000000" w14:paraId="00000017">
      <w:pPr>
        <w:spacing w:after="200" w:before="200" w:lineRule="auto"/>
        <w:ind w:hanging="2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Via/Piazza _____________________ ___________________________n. ___ </w:t>
      </w:r>
    </w:p>
    <w:p w:rsidR="00000000" w:rsidDel="00000000" w:rsidP="00000000" w:rsidRDefault="00000000" w:rsidRPr="00000000" w14:paraId="00000018">
      <w:pPr>
        <w:spacing w:after="200" w:before="200" w:lineRule="auto"/>
        <w:ind w:hanging="2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CAP _______,</w:t>
      </w:r>
    </w:p>
    <w:p w:rsidR="00000000" w:rsidDel="00000000" w:rsidP="00000000" w:rsidRDefault="00000000" w:rsidRPr="00000000" w14:paraId="00000019">
      <w:pPr>
        <w:spacing w:after="240" w:lineRule="auto"/>
        <w:ind w:hanging="2"/>
        <w:rPr>
          <w:rFonts w:ascii="Play" w:cs="Play" w:eastAsia="Play" w:hAnsi="Play"/>
          <w:u w:val="single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in qualità di rappresentante legale di ___________________________________ 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consapevole delle sanzioni penali, nel caso di dichiarazioni non veritiere, di formazione o uso di atti falsi, richiamate dal successivo articolo 76 del citato D.P.R. n. 445 del 28 dicembre 2000,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line="360" w:lineRule="auto"/>
        <w:jc w:val="center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Che il soggetto rappresentato: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360" w:lineRule="auto"/>
        <w:ind w:left="426" w:hanging="360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non rientra tra coloro che hanno ricevuto e successivamente non rimborsato o depositato in un conto bloccato gli aiuti individuati quali illegali o incompatibili dalla Commissione Europea, in particolare gli aiuti di cui all’art.4 DPCM 23/05/2007;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360" w:lineRule="auto"/>
        <w:ind w:left="426" w:hanging="360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non è identificabile come “impresa in difficoltà” ai sensi dell’art. 2 comma 18 del Regolamento UE 651/2014;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line="360" w:lineRule="auto"/>
        <w:ind w:left="426" w:hanging="360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è in regola con le disposizioni vigenti in materia di normativa edilizia ed urbanistica, del lavoro, della prevenzione degli infortuni e della salvaguardia dell'ambiente, e si impegna al loro rispetto anche in relazione alle attività svolte nelle sedi operative;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00" w:line="360" w:lineRule="auto"/>
        <w:ind w:left="426" w:hanging="360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non presenta situazioni debitorie o pendenze amministrative nei confronti della Città di Torino o di altri enti pubblici o enti di riscossione o di pendenze di carattere amministrativo di qualsiasi natura nei confronti della Città;</w:t>
        <w:br w:type="textWrapping"/>
      </w:r>
      <w:r w:rsidDel="00000000" w:rsidR="00000000" w:rsidRPr="00000000">
        <w:rPr>
          <w:rFonts w:ascii="Play" w:cs="Play" w:eastAsia="Play" w:hAnsi="Play"/>
          <w:i w:val="1"/>
          <w:rtl w:val="0"/>
        </w:rPr>
        <w:t xml:space="preserve">oppure</w:t>
      </w:r>
      <w:r w:rsidDel="00000000" w:rsidR="00000000" w:rsidRPr="00000000">
        <w:rPr>
          <w:rFonts w:ascii="Play" w:cs="Play" w:eastAsia="Play" w:hAnsi="Play"/>
          <w:rtl w:val="0"/>
        </w:rPr>
        <w:br w:type="textWrapping"/>
        <w:t xml:space="preserve">ha sottoscritto un piano di rientro da situazioni debitorie nei confronti della Città di Torino, di altri enti pubblici o enti di riscossione in data ________________________ per un importo complessivo di Euro ___________________________ che si impegna a produrre tempestivamente in caso di accertamenti da parte della Città.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0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Che non sussistono cause di esclusione di cui agli artt. 94 e 95 del D.lgs. n. 36/2023 (Codice dei contratti pubblici)</w:t>
      </w:r>
      <w:r w:rsidDel="00000000" w:rsidR="00000000" w:rsidRPr="00000000">
        <w:rPr>
          <w:rFonts w:ascii="Play" w:cs="Play" w:eastAsia="Play" w:hAnsi="Play"/>
          <w:rtl w:val="0"/>
        </w:rPr>
        <w:t xml:space="preserve">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00" w:line="360" w:lineRule="auto"/>
        <w:ind w:left="720" w:hanging="360"/>
        <w:jc w:val="both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Che il progetto candidato non risulta già finanziato dalla Città o nell’ambito di progettualità dalla stessa promosse per il tramite di soggetti terzi attuatori e non verrà candidato in occasione di eventuali ulteriori procedure di selezione né risulta finanziato da altri enti pubblici / privati, se non entro la soglia di co-finanziamento.</w:t>
      </w:r>
    </w:p>
    <w:p w:rsidR="00000000" w:rsidDel="00000000" w:rsidP="00000000" w:rsidRDefault="00000000" w:rsidRPr="00000000" w14:paraId="00000024">
      <w:pPr>
        <w:spacing w:after="200"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e) di essere consapevole che l’assenza di uno dei requisiti richiesti costituisce irregolarità essenziale non sanabile e comporta la non ammissibilità della domanda.</w:t>
      </w:r>
    </w:p>
    <w:p w:rsidR="00000000" w:rsidDel="00000000" w:rsidP="00000000" w:rsidRDefault="00000000" w:rsidRPr="00000000" w14:paraId="00000025">
      <w:pPr>
        <w:spacing w:after="200"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00" w:line="360" w:lineRule="auto"/>
        <w:jc w:val="both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Con riguardo al rispetto del limite massimo concedibile di sovvenzioni pubbliche nell’arco degli ultimi tre esercizi finanziari – “regime</w:t>
      </w:r>
      <w:r w:rsidDel="00000000" w:rsidR="00000000" w:rsidRPr="00000000">
        <w:rPr>
          <w:rFonts w:ascii="Play" w:cs="Play" w:eastAsia="Play" w:hAnsi="Play"/>
          <w:b w:val="1"/>
          <w:i w:val="1"/>
          <w:rtl w:val="0"/>
        </w:rPr>
        <w:t xml:space="preserve"> de minimis</w:t>
      </w: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”</w:t>
      </w:r>
    </w:p>
    <w:p w:rsidR="00000000" w:rsidDel="00000000" w:rsidP="00000000" w:rsidRDefault="00000000" w:rsidRPr="00000000" w14:paraId="00000027">
      <w:pPr>
        <w:spacing w:after="200" w:line="360" w:lineRule="auto"/>
        <w:jc w:val="center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di poter beneficiare, quale aiuto «de minimis», del contributo pubblico di euro _____________________ per l’iniziativa sopra evidenziata, il tutto in ossequio a quanto previsto dal Regolamento (UE) n. 2023/2831 del 13 dicembre 2023, preso atto che l’importo complessivo degli aiuti «de minimis» concessi da uno Stato membro a un’impresa unica non possono superare 300.000 € nell’arco di tre anni.</w:t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L’Amministrazione verificherà il rispetto del massimale sul Registro Nazionale Aiuti e applicherà la normativa vigente in materia.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="360" w:lineRule="auto"/>
        <w:jc w:val="both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Con riguardo al rispetto del principio DNSH ai sensi dell'articolo 17 del Regolamento (UE) 2020/852 </w:t>
      </w: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e ai principi trasversali del PNRR</w:t>
      </w:r>
    </w:p>
    <w:p w:rsidR="00000000" w:rsidDel="00000000" w:rsidP="00000000" w:rsidRDefault="00000000" w:rsidRPr="00000000" w14:paraId="0000002C">
      <w:pPr>
        <w:spacing w:after="200" w:line="360" w:lineRule="auto"/>
        <w:jc w:val="center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Play" w:cs="Play" w:eastAsia="Play" w:hAnsi="Play"/>
          <w:rtl w:val="0"/>
        </w:rPr>
        <w:t xml:space="preserve">che la realizzazione delle attività progettuali proposte è coerente con i principi e gli obblighi specifici  del “Do No Significant Harm” (DNSH) di cui all’articolo 17 del Regolamento (UE) 2020/852;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Play" w:cs="Play" w:eastAsia="Play" w:hAnsi="Play"/>
          <w:rtl w:val="0"/>
        </w:rPr>
        <w:t xml:space="preserve">l'esclusione di iniziative potenzialmente dannose, in prima istanza riconducibili ai settori indicati nell'allegato V del Regolamento per il Fondo InvestUE (Regolamento (UE) 523/2021);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Play" w:cs="Play" w:eastAsia="Play" w:hAnsi="Play"/>
          <w:rtl w:val="0"/>
        </w:rPr>
        <w:t xml:space="preserve">che con riferimento all’acquisto di macchinari, impianti, attrezzature e dispositivi elettrici ed elettronici, saranno privilegiate le migliori e più ecocompatibili tecnologie disponibili (BAT);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Play" w:cs="Play" w:eastAsia="Play" w:hAnsi="Play"/>
          <w:rtl w:val="0"/>
        </w:rPr>
        <w:t xml:space="preserve">che gli investimenti in attività di ricerca e innovazione saranno rivolti a ricerche il cui risultato sia neutrale tecnologicamente (technological neutrality) nella sua applicazione;</w:t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3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Play" w:cs="Play" w:eastAsia="Play" w:hAnsi="Play"/>
          <w:rtl w:val="0"/>
        </w:rPr>
        <w:t xml:space="preserve">rispettare gli ulteriori principi trasversali previsti dal PNRR quali, tra l’altro, il principio del contributo all’obiettivo climatico e digitale (c.d. </w:t>
      </w:r>
      <w:r w:rsidDel="00000000" w:rsidR="00000000" w:rsidRPr="00000000">
        <w:rPr>
          <w:rFonts w:ascii="Play" w:cs="Play" w:eastAsia="Play" w:hAnsi="Play"/>
          <w:i w:val="1"/>
          <w:rtl w:val="0"/>
        </w:rPr>
        <w:t xml:space="preserve">tagging</w:t>
      </w:r>
      <w:r w:rsidDel="00000000" w:rsidR="00000000" w:rsidRPr="00000000">
        <w:rPr>
          <w:rFonts w:ascii="Play" w:cs="Play" w:eastAsia="Play" w:hAnsi="Play"/>
          <w:rtl w:val="0"/>
        </w:rPr>
        <w:t xml:space="preserve">);</w:t>
      </w:r>
    </w:p>
    <w:p w:rsidR="00000000" w:rsidDel="00000000" w:rsidP="00000000" w:rsidRDefault="00000000" w:rsidRPr="00000000" w14:paraId="00000032">
      <w:pPr>
        <w:widowControl w:val="0"/>
        <w:numPr>
          <w:ilvl w:val="0"/>
          <w:numId w:val="3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Play" w:cs="Play" w:eastAsia="Play" w:hAnsi="Play"/>
          <w:rtl w:val="0"/>
        </w:rPr>
        <w:t xml:space="preserve">rispettare il principio di parità di genere in relazione agli articoli 2, 3, paragrafo 3 del TUE, 8, 10, 19 e 157 del TFUE, e 21 e 23 della Carta dei diritti fondamentali dell’Unione europea;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In attuazione del D.P.R. 28 dicembre 2000, n. 445 e s.m.i. in materia di dichiarazioni sostitutive, la Città di Torino è tenuta ad effettuare controlli, anche a campione, sulle dichiarazioni sostitutive di certificazione e di atto di notorietà contenuti nelle domande di contributo e nelle rendicontazioni.</w:t>
      </w:r>
    </w:p>
    <w:p w:rsidR="00000000" w:rsidDel="00000000" w:rsidP="00000000" w:rsidRDefault="00000000" w:rsidRPr="00000000" w14:paraId="00000035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ind w:hanging="2"/>
        <w:jc w:val="center"/>
        <w:rPr>
          <w:rFonts w:ascii="Play" w:cs="Play" w:eastAsia="Play" w:hAnsi="Play"/>
          <w:b w:val="1"/>
          <w:highlight w:val="white"/>
          <w:u w:val="single"/>
        </w:rPr>
      </w:pPr>
      <w:r w:rsidDel="00000000" w:rsidR="00000000" w:rsidRPr="00000000">
        <w:rPr>
          <w:rFonts w:ascii="Play" w:cs="Play" w:eastAsia="Play" w:hAnsi="Play"/>
          <w:b w:val="1"/>
          <w:highlight w:val="white"/>
          <w:u w:val="single"/>
          <w:rtl w:val="0"/>
        </w:rPr>
        <w:t xml:space="preserve">DA SOTTOSCRIVERE CON FIRMA DIGITALE A CURA DEL LEGALE RAPPRESENTANTE DEL SOGGETTO PROPONENTE</w:t>
      </w:r>
    </w:p>
    <w:p w:rsidR="00000000" w:rsidDel="00000000" w:rsidP="00000000" w:rsidRDefault="00000000" w:rsidRPr="00000000" w14:paraId="00000039">
      <w:pPr>
        <w:spacing w:before="200" w:line="276" w:lineRule="auto"/>
        <w:ind w:hanging="2"/>
        <w:jc w:val="center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b w:val="1"/>
          <w:highlight w:val="white"/>
          <w:u w:val="single"/>
          <w:rtl w:val="0"/>
        </w:rPr>
        <w:t xml:space="preserve">NEL CASO DI PARTENARIATI OGNI SOGGETTO DOVRA’ COMPILARE E SOTTOSCRIVERE LA PROPRIA DICHIARAZIONE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40" w:top="1440" w:left="1440" w:right="144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Thai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561975</wp:posOffset>
          </wp:positionH>
          <wp:positionV relativeFrom="paragraph">
            <wp:posOffset>-57147</wp:posOffset>
          </wp:positionV>
          <wp:extent cx="5510213" cy="265364"/>
          <wp:effectExtent b="0" l="0" r="0" t="0"/>
          <wp:wrapNone/>
          <wp:docPr id="181347427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12" l="0" r="0" t="212"/>
                  <a:stretch>
                    <a:fillRect/>
                  </a:stretch>
                </pic:blipFill>
                <pic:spPr>
                  <a:xfrm>
                    <a:off x="0" y="0"/>
                    <a:ext cx="5510213" cy="26536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638175</wp:posOffset>
          </wp:positionH>
          <wp:positionV relativeFrom="paragraph">
            <wp:posOffset>-28572</wp:posOffset>
          </wp:positionV>
          <wp:extent cx="5510213" cy="265364"/>
          <wp:effectExtent b="0" l="0" r="0" t="0"/>
          <wp:wrapNone/>
          <wp:docPr id="181347426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12" l="0" r="0" t="212"/>
                  <a:stretch>
                    <a:fillRect/>
                  </a:stretch>
                </pic:blipFill>
                <pic:spPr>
                  <a:xfrm>
                    <a:off x="0" y="0"/>
                    <a:ext cx="5510213" cy="26536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-914395</wp:posOffset>
          </wp:positionH>
          <wp:positionV relativeFrom="paragraph">
            <wp:posOffset>-155960</wp:posOffset>
          </wp:positionV>
          <wp:extent cx="7561385" cy="377819"/>
          <wp:effectExtent b="0" l="0" r="0" t="0"/>
          <wp:wrapNone/>
          <wp:docPr id="181347427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33" l="0" r="0" t="33"/>
                  <a:stretch>
                    <a:fillRect/>
                  </a:stretch>
                </pic:blipFill>
                <pic:spPr>
                  <a:xfrm>
                    <a:off x="0" y="0"/>
                    <a:ext cx="7561385" cy="37781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5007445</wp:posOffset>
          </wp:positionH>
          <wp:positionV relativeFrom="paragraph">
            <wp:posOffset>-219072</wp:posOffset>
          </wp:positionV>
          <wp:extent cx="1250480" cy="495300"/>
          <wp:effectExtent b="0" l="0" r="0" t="0"/>
          <wp:wrapNone/>
          <wp:docPr descr="A logo with a black background&#10;&#10;Description automatically generated" id="1813474273" name="image2.png"/>
          <a:graphic>
            <a:graphicData uri="http://schemas.openxmlformats.org/drawingml/2006/picture">
              <pic:pic>
                <pic:nvPicPr>
                  <pic:cNvPr descr="A logo with a black background&#10;&#10;Description automatically generated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0480" cy="495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-445473</wp:posOffset>
          </wp:positionH>
          <wp:positionV relativeFrom="paragraph">
            <wp:posOffset>-177503</wp:posOffset>
          </wp:positionV>
          <wp:extent cx="1781908" cy="327321"/>
          <wp:effectExtent b="0" l="0" r="0" t="0"/>
          <wp:wrapNone/>
          <wp:docPr descr="A blue letter on a black background&#10;&#10;Description automatically generated" id="1813474272" name="image3.png"/>
          <a:graphic>
            <a:graphicData uri="http://schemas.openxmlformats.org/drawingml/2006/picture">
              <pic:pic>
                <pic:nvPicPr>
                  <pic:cNvPr descr="A blue letter on a black background&#10;&#10;Description automatically generated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81908" cy="32732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rFonts w:ascii="Play" w:cs="Play" w:eastAsia="Play" w:hAnsi="Play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6D67CC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6D67CC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6D67CC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6D67CC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6D67CC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6D67CC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6D67CC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6D67CC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6D67CC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D67CC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6D67CC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6D67CC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6D67CC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6D67CC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6D67CC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6D67CC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6D67CC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6D67CC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6D67CC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D67C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6D67CC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D67C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6D67CC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6D67CC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6D67CC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6D67CC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6D67CC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D67CC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6D67CC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6D67CC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D67CC"/>
  </w:style>
  <w:style w:type="paragraph" w:styleId="Footer">
    <w:name w:val="footer"/>
    <w:basedOn w:val="Normal"/>
    <w:link w:val="FooterChar"/>
    <w:uiPriority w:val="99"/>
    <w:unhideWhenUsed w:val="1"/>
    <w:rsid w:val="006D67CC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D67CC"/>
  </w:style>
  <w:style w:type="table" w:styleId="TableGrid">
    <w:name w:val="Table Grid"/>
    <w:basedOn w:val="TableNormal"/>
    <w:uiPriority w:val="39"/>
    <w:rsid w:val="002A47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PlainTable4">
    <w:name w:val="Plain Table 4"/>
    <w:basedOn w:val="TableNormal"/>
    <w:uiPriority w:val="44"/>
    <w:rsid w:val="00E41840"/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Thai-regular.ttf"/><Relationship Id="rId4" Type="http://schemas.openxmlformats.org/officeDocument/2006/relationships/font" Target="fonts/NotoSansThai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+9CLHIdj/uvCYpqspZSW0PASVQ==">CgMxLjA4AHIhMURhOHBJZDIxaUx5ZjJvd3NEeV82UEpUWUxGRDdCWUE3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2024-10-15T08:54:00Z</dcterms:created>
  <dc:creator>Vincenzo Franco</dc:creator>
</cp:coreProperties>
</file>